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Выписка из ООП ООО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МБОУ «СОШ</w:t>
      </w:r>
      <w:r w:rsidR="007E32A4">
        <w:rPr>
          <w:rFonts w:cstheme="minorHAnsi"/>
          <w:sz w:val="28"/>
          <w:szCs w:val="28"/>
        </w:rPr>
        <w:t xml:space="preserve"> с.Аллерой</w:t>
      </w:r>
      <w:r w:rsidRPr="00D6190A">
        <w:rPr>
          <w:rFonts w:cstheme="minorHAnsi"/>
          <w:sz w:val="28"/>
          <w:szCs w:val="28"/>
        </w:rPr>
        <w:t xml:space="preserve">»,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утвержден</w:t>
      </w:r>
      <w:r w:rsidR="0090019A" w:rsidRPr="00D6190A">
        <w:rPr>
          <w:rFonts w:cstheme="minorHAnsi"/>
          <w:sz w:val="28"/>
          <w:szCs w:val="28"/>
        </w:rPr>
        <w:t>ной</w:t>
      </w:r>
      <w:r w:rsidRPr="00D6190A">
        <w:rPr>
          <w:rFonts w:cstheme="minorHAnsi"/>
          <w:sz w:val="28"/>
          <w:szCs w:val="28"/>
        </w:rPr>
        <w:t xml:space="preserve"> приказом директора от «</w:t>
      </w:r>
      <w:r w:rsidR="007E32A4">
        <w:rPr>
          <w:rFonts w:cstheme="minorHAnsi"/>
          <w:sz w:val="28"/>
          <w:szCs w:val="28"/>
        </w:rPr>
        <w:t>___</w:t>
      </w:r>
      <w:r w:rsidRPr="00D6190A">
        <w:rPr>
          <w:rFonts w:cstheme="minorHAnsi"/>
          <w:sz w:val="28"/>
          <w:szCs w:val="28"/>
        </w:rPr>
        <w:t>» августа 2023г. №</w:t>
      </w:r>
      <w:r w:rsidR="007E32A4">
        <w:rPr>
          <w:rFonts w:cstheme="minorHAnsi"/>
          <w:sz w:val="28"/>
          <w:szCs w:val="28"/>
        </w:rPr>
        <w:t>_____</w:t>
      </w:r>
    </w:p>
    <w:p w:rsidR="00D77D1E" w:rsidRPr="00D6190A" w:rsidRDefault="00D77D1E" w:rsidP="0090019A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90019A" w:rsidP="0090019A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Рабочая</w:t>
      </w:r>
      <w:r w:rsidR="00D77D1E" w:rsidRPr="00D6190A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  <w:r w:rsidR="00D77D1E" w:rsidRPr="00D6190A">
        <w:rPr>
          <w:rFonts w:cstheme="minorHAnsi"/>
          <w:b/>
          <w:sz w:val="28"/>
          <w:szCs w:val="28"/>
        </w:rPr>
        <w:t>"Изобразительное искусство"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2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изобразительного искусства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предмета 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D6190A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</w:t>
      </w:r>
      <w:r w:rsidR="007E32A4">
        <w:rPr>
          <w:rFonts w:ascii="Times New Roman" w:hAnsi="Times New Roman" w:cs="Times New Roman"/>
          <w:sz w:val="28"/>
          <w:szCs w:val="28"/>
        </w:rPr>
        <w:t xml:space="preserve">кол №1 от 28.08 </w:t>
      </w:r>
      <w:r w:rsidRPr="00D6190A">
        <w:rPr>
          <w:rFonts w:ascii="Times New Roman" w:hAnsi="Times New Roman" w:cs="Times New Roman"/>
          <w:sz w:val="28"/>
          <w:szCs w:val="28"/>
        </w:rPr>
        <w:t>.2023г/</w:t>
      </w: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>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Планируемые результаты освоения программы учебного предмета "Изобразительное искусство" 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Конструкция избы, единство красоты и пользы - функционального и </w:t>
      </w:r>
      <w:r w:rsidRPr="00D6190A">
        <w:rPr>
          <w:rFonts w:cstheme="minorHAnsi"/>
          <w:sz w:val="28"/>
          <w:szCs w:val="28"/>
        </w:rPr>
        <w:lastRenderedPageBreak/>
        <w:t>символического - в ее постройке и украшении.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</w:t>
      </w:r>
      <w:r w:rsidRPr="00D6190A">
        <w:rPr>
          <w:rFonts w:cstheme="minorHAnsi"/>
          <w:sz w:val="28"/>
          <w:szCs w:val="28"/>
        </w:rPr>
        <w:lastRenderedPageBreak/>
        <w:t>промыслы игрушек разных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D6190A">
        <w:rPr>
          <w:rFonts w:cstheme="minorHAnsi"/>
          <w:sz w:val="28"/>
          <w:szCs w:val="28"/>
        </w:rPr>
        <w:lastRenderedPageBreak/>
        <w:t>пространства: построений, интерьеров, предметов быта -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жизни современного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</w:t>
      </w:r>
      <w:r w:rsidRPr="00D6190A">
        <w:rPr>
          <w:rFonts w:cstheme="minorHAnsi"/>
          <w:sz w:val="28"/>
          <w:szCs w:val="28"/>
        </w:rPr>
        <w:lastRenderedPageBreak/>
        <w:t>рельефа.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</w:t>
      </w:r>
      <w:r w:rsidRPr="00D6190A">
        <w:rPr>
          <w:rFonts w:cstheme="minorHAnsi"/>
          <w:sz w:val="28"/>
          <w:szCs w:val="28"/>
        </w:rPr>
        <w:lastRenderedPageBreak/>
        <w:t>рисунок с натуры или по памяти.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Опыт изображения городского пейзажа. Наблюдательная перспектива и </w:t>
      </w:r>
      <w:r w:rsidRPr="00D6190A">
        <w:rPr>
          <w:rFonts w:cstheme="minorHAnsi"/>
          <w:sz w:val="28"/>
          <w:szCs w:val="28"/>
        </w:rPr>
        <w:lastRenderedPageBreak/>
        <w:t>ритмическая организация плоскости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Ге.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Роль и значение изобразительного искусства в жизни людей: образ мира в </w:t>
      </w:r>
      <w:r w:rsidRPr="00D6190A">
        <w:rPr>
          <w:rFonts w:cstheme="minorHAnsi"/>
          <w:sz w:val="28"/>
          <w:szCs w:val="28"/>
        </w:rPr>
        <w:lastRenderedPageBreak/>
        <w:t>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</w:t>
      </w:r>
      <w:r w:rsidRPr="00D6190A">
        <w:rPr>
          <w:rFonts w:cstheme="minorHAnsi"/>
          <w:sz w:val="28"/>
          <w:szCs w:val="28"/>
        </w:rPr>
        <w:lastRenderedPageBreak/>
        <w:t>объектов архитектуры и дизайна.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работы по теме "Проектирование дизайна объектов городской среды" в виде создания коллажнографической композиции или дизайн-проекта оформления витрины магазина.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Единство эстетического и функционального в объемнопространственной организации среды жизнедеятельности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Фотопейзаж в творчестве профессиональных фотографов.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Образные возможности черно-белой и цветной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</w:t>
      </w:r>
      <w:r w:rsidRPr="00D6190A">
        <w:rPr>
          <w:rFonts w:cstheme="minorHAnsi"/>
          <w:sz w:val="28"/>
          <w:szCs w:val="28"/>
        </w:rPr>
        <w:lastRenderedPageBreak/>
        <w:t>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искусства в жизни общества и его влияние на жизнь каждого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</w:t>
      </w:r>
      <w:r w:rsidRPr="00D6190A">
        <w:rPr>
          <w:rFonts w:cstheme="minorHAnsi"/>
          <w:sz w:val="28"/>
          <w:szCs w:val="28"/>
        </w:rPr>
        <w:lastRenderedPageBreak/>
        <w:t>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</w:t>
      </w:r>
      <w:r w:rsidRPr="00D6190A">
        <w:rPr>
          <w:rFonts w:cstheme="minorHAnsi"/>
          <w:sz w:val="28"/>
          <w:szCs w:val="28"/>
        </w:rPr>
        <w:lastRenderedPageBreak/>
        <w:t>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</w:t>
      </w:r>
      <w:r w:rsidRPr="00D6190A">
        <w:rPr>
          <w:rFonts w:cstheme="minorHAnsi"/>
          <w:sz w:val="28"/>
          <w:szCs w:val="28"/>
        </w:rPr>
        <w:lastRenderedPageBreak/>
        <w:t>обучающихся.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положение предметной формы в пространстве;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работать с электронными учебными пособиями и учебниками;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специфику образного языка декоративного искусства - его знаковую </w:t>
      </w:r>
      <w:r w:rsidRPr="00D6190A">
        <w:rPr>
          <w:rFonts w:cstheme="minorHAnsi"/>
          <w:sz w:val="28"/>
          <w:szCs w:val="28"/>
        </w:rPr>
        <w:lastRenderedPageBreak/>
        <w:t>природу, орнаментальность, стилизацию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линейного рисунка, понимать выразительные возможности линии;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характеризовать изображение предметного мира в различные эпохи </w:t>
      </w:r>
      <w:r w:rsidRPr="00D6190A">
        <w:rPr>
          <w:rFonts w:cstheme="minorHAnsi"/>
          <w:sz w:val="28"/>
          <w:szCs w:val="28"/>
        </w:rPr>
        <w:lastRenderedPageBreak/>
        <w:t>истории человечества и приводить примеры натюрморта в европейской живописи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опыт создания живописного портрета, понимать роль цвета в </w:t>
      </w:r>
      <w:r w:rsidRPr="00D6190A">
        <w:rPr>
          <w:rFonts w:cstheme="minorHAnsi"/>
          <w:sz w:val="28"/>
          <w:szCs w:val="28"/>
        </w:rPr>
        <w:lastRenderedPageBreak/>
        <w:t>создании портретного образа как средства выражения настроения, характера, индивидуальности героя портрета;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перечислять и объяснять основные типы формальной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</w:t>
      </w:r>
      <w:r w:rsidRPr="00D6190A">
        <w:rPr>
          <w:rFonts w:cstheme="minorHAnsi"/>
          <w:sz w:val="28"/>
          <w:szCs w:val="28"/>
        </w:rPr>
        <w:lastRenderedPageBreak/>
        <w:t>организации и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объяснять ведущую роль художника кукольного спектакля как соавтора </w:t>
      </w:r>
      <w:r w:rsidRPr="00D6190A">
        <w:rPr>
          <w:rFonts w:cstheme="minorHAnsi"/>
          <w:sz w:val="28"/>
          <w:szCs w:val="28"/>
        </w:rPr>
        <w:lastRenderedPageBreak/>
        <w:t>режиссера и актера в процессе создания образа персонажа;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об этапах в истории кино и его эволюции как </w:t>
      </w:r>
      <w:r w:rsidRPr="00D6190A">
        <w:rPr>
          <w:rFonts w:cstheme="minorHAnsi"/>
          <w:sz w:val="28"/>
          <w:szCs w:val="28"/>
        </w:rPr>
        <w:lastRenderedPageBreak/>
        <w:t>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</w:t>
      </w:r>
      <w:r w:rsidRPr="00D6190A">
        <w:rPr>
          <w:rFonts w:cstheme="minorHAnsi"/>
          <w:sz w:val="28"/>
          <w:szCs w:val="28"/>
        </w:rPr>
        <w:lastRenderedPageBreak/>
        <w:t>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ТЕМАТИЧЕСКОЕ ПЛАНИРОВАНИЕ </w:t>
      </w: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7"/>
        <w:gridCol w:w="2449"/>
        <w:gridCol w:w="1097"/>
        <w:gridCol w:w="2090"/>
        <w:gridCol w:w="2171"/>
        <w:gridCol w:w="5416"/>
      </w:tblGrid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Декоративное </w:t>
            </w:r>
            <w:r w:rsidRPr="00D6190A">
              <w:rPr>
                <w:rFonts w:cstheme="minorHAnsi"/>
                <w:sz w:val="28"/>
                <w:szCs w:val="28"/>
              </w:rPr>
              <w:lastRenderedPageBreak/>
              <w:t>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1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</w:t>
            </w:r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lastRenderedPageBreak/>
              <w:t>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6"/>
        <w:gridCol w:w="2837"/>
        <w:gridCol w:w="1109"/>
        <w:gridCol w:w="2090"/>
        <w:gridCol w:w="2171"/>
        <w:gridCol w:w="5027"/>
      </w:tblGrid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2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2"/>
        <w:gridCol w:w="2466"/>
        <w:gridCol w:w="1011"/>
        <w:gridCol w:w="2011"/>
        <w:gridCol w:w="2089"/>
        <w:gridCol w:w="5198"/>
      </w:tblGrid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918BF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A3F" w:rsidRDefault="00856A3F" w:rsidP="00D77D1E">
      <w:r>
        <w:separator/>
      </w:r>
    </w:p>
  </w:endnote>
  <w:endnote w:type="continuationSeparator" w:id="1">
    <w:p w:rsidR="00856A3F" w:rsidRDefault="00856A3F" w:rsidP="00D7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A3F" w:rsidRDefault="00856A3F" w:rsidP="00D77D1E">
      <w:r>
        <w:separator/>
      </w:r>
    </w:p>
  </w:footnote>
  <w:footnote w:type="continuationSeparator" w:id="1">
    <w:p w:rsidR="00856A3F" w:rsidRDefault="00856A3F" w:rsidP="00D77D1E">
      <w:r>
        <w:continuationSeparator/>
      </w:r>
    </w:p>
  </w:footnote>
  <w:footnote w:id="2">
    <w:p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0C02D6">
        <w:rPr>
          <w:rFonts w:ascii="Times New Roman" w:hAnsi="Times New Roman" w:cs="Times New Roman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D77D1E" w:rsidRPr="00A413AE" w:rsidRDefault="00D77D1E" w:rsidP="00D77D1E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900"/>
    <w:rsid w:val="0003092B"/>
    <w:rsid w:val="00067304"/>
    <w:rsid w:val="000C02D6"/>
    <w:rsid w:val="001918BF"/>
    <w:rsid w:val="00204AE2"/>
    <w:rsid w:val="002F770F"/>
    <w:rsid w:val="0033298B"/>
    <w:rsid w:val="00380B5C"/>
    <w:rsid w:val="00486067"/>
    <w:rsid w:val="00555FF7"/>
    <w:rsid w:val="00655821"/>
    <w:rsid w:val="006763BF"/>
    <w:rsid w:val="006F5E1F"/>
    <w:rsid w:val="007E32A4"/>
    <w:rsid w:val="008103EA"/>
    <w:rsid w:val="00831B85"/>
    <w:rsid w:val="00856A3F"/>
    <w:rsid w:val="008947CF"/>
    <w:rsid w:val="008C6900"/>
    <w:rsid w:val="008D042F"/>
    <w:rsid w:val="0090019A"/>
    <w:rsid w:val="00D32881"/>
    <w:rsid w:val="00D6190A"/>
    <w:rsid w:val="00D65D60"/>
    <w:rsid w:val="00D77D1E"/>
    <w:rsid w:val="00DE2290"/>
    <w:rsid w:val="00E62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8" Type="http://schemas.openxmlformats.org/officeDocument/2006/relationships/hyperlink" Target="https://multiurok.ru/all-goto/?url=https://uchitelya.com/izo/156255-kartoteka-didakticheskih-igr-po-izodeyatelnost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17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all-goto/?url=http://www.openclass.ru/node/2030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.schol-collection.edu.ru/" TargetMode="External"/><Relationship Id="rId10" Type="http://schemas.openxmlformats.org/officeDocument/2006/relationships/hyperlink" Target="https://multiurok.ru/all-goto/?url=http://.schol-collection.edu.ru/" TargetMode="External"/><Relationship Id="rId1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uchitelya.com/izo/156255-kartoteka-didakticheskih-igr-po-izodeyatelnosti.html" TargetMode="External"/><Relationship Id="rId14" Type="http://schemas.openxmlformats.org/officeDocument/2006/relationships/hyperlink" Target="https://multiurok.ru/all-goto/?url=https://uchitelya.com/izo/156255-kartoteka-didakticheskih-igr-po-izodeyatelnost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12407</Words>
  <Characters>70726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16</cp:revision>
  <cp:lastPrinted>2023-10-12T10:30:00Z</cp:lastPrinted>
  <dcterms:created xsi:type="dcterms:W3CDTF">2023-09-28T02:59:00Z</dcterms:created>
  <dcterms:modified xsi:type="dcterms:W3CDTF">2023-10-12T10:38:00Z</dcterms:modified>
</cp:coreProperties>
</file>