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Выписка из ООП ООО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МБОУ «СОШ</w:t>
      </w:r>
      <w:r w:rsidR="00721A98">
        <w:rPr>
          <w:rFonts w:cstheme="minorHAnsi"/>
          <w:sz w:val="24"/>
          <w:szCs w:val="24"/>
        </w:rPr>
        <w:t xml:space="preserve"> с.Аллерой</w:t>
      </w:r>
      <w:r w:rsidRPr="0023422E">
        <w:rPr>
          <w:rFonts w:cstheme="minorHAnsi"/>
          <w:sz w:val="24"/>
          <w:szCs w:val="24"/>
        </w:rPr>
        <w:t xml:space="preserve">»,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утвержден</w:t>
      </w:r>
      <w:r w:rsidR="00080B3B" w:rsidRPr="0023422E">
        <w:rPr>
          <w:rFonts w:cstheme="minorHAnsi"/>
          <w:sz w:val="24"/>
          <w:szCs w:val="24"/>
        </w:rPr>
        <w:t>ной</w:t>
      </w:r>
      <w:r w:rsidRPr="0023422E">
        <w:rPr>
          <w:rFonts w:cstheme="minorHAnsi"/>
          <w:sz w:val="24"/>
          <w:szCs w:val="24"/>
        </w:rPr>
        <w:t xml:space="preserve"> приказом директора от «2</w:t>
      </w:r>
      <w:r w:rsidR="00080B3B" w:rsidRPr="0023422E">
        <w:rPr>
          <w:rFonts w:cstheme="minorHAnsi"/>
          <w:sz w:val="24"/>
          <w:szCs w:val="24"/>
        </w:rPr>
        <w:t>8</w:t>
      </w:r>
      <w:r w:rsidRPr="0023422E">
        <w:rPr>
          <w:rFonts w:cstheme="minorHAnsi"/>
          <w:sz w:val="24"/>
          <w:szCs w:val="24"/>
        </w:rPr>
        <w:t>» августа 2023г. №118-п</w:t>
      </w:r>
    </w:p>
    <w:p w:rsidR="004C0E07" w:rsidRPr="00F76B95" w:rsidRDefault="004C0E07" w:rsidP="00F76B95">
      <w:pPr>
        <w:adjustRightInd w:val="0"/>
        <w:ind w:firstLine="540"/>
        <w:contextualSpacing/>
        <w:jc w:val="both"/>
        <w:rPr>
          <w:rFonts w:cstheme="minorHAnsi"/>
          <w:b/>
          <w:bCs/>
          <w:sz w:val="28"/>
          <w:szCs w:val="28"/>
        </w:rPr>
      </w:pPr>
    </w:p>
    <w:p w:rsidR="0023422E"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Рабочая</w:t>
      </w:r>
      <w:r w:rsidR="004C0E07" w:rsidRPr="0023422E">
        <w:rPr>
          <w:rFonts w:cstheme="minorHAnsi"/>
          <w:b/>
          <w:bCs/>
          <w:sz w:val="26"/>
          <w:szCs w:val="26"/>
        </w:rPr>
        <w:t xml:space="preserve"> программа по учебному предмету </w:t>
      </w:r>
      <w:r w:rsidRPr="0023422E">
        <w:rPr>
          <w:rFonts w:cstheme="minorHAnsi"/>
          <w:b/>
          <w:bCs/>
          <w:sz w:val="26"/>
          <w:szCs w:val="26"/>
        </w:rPr>
        <w:t xml:space="preserve">"Биология" </w:t>
      </w:r>
    </w:p>
    <w:p w:rsidR="004C0E07"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 xml:space="preserve">(базовый </w:t>
      </w:r>
      <w:r w:rsidR="00B63E7D" w:rsidRPr="0023422E">
        <w:rPr>
          <w:rFonts w:cstheme="minorHAnsi"/>
          <w:b/>
          <w:bCs/>
          <w:sz w:val="26"/>
          <w:szCs w:val="26"/>
        </w:rPr>
        <w:t>уровень)</w:t>
      </w:r>
    </w:p>
    <w:p w:rsidR="004C0E07" w:rsidRPr="0023422E" w:rsidRDefault="004C0E07" w:rsidP="00F76B95">
      <w:pPr>
        <w:spacing w:before="100" w:after="100"/>
        <w:contextualSpacing/>
        <w:jc w:val="center"/>
        <w:rPr>
          <w:rFonts w:cstheme="minorHAnsi"/>
          <w:b/>
          <w:sz w:val="26"/>
          <w:szCs w:val="26"/>
        </w:rPr>
      </w:pPr>
      <w:r w:rsidRPr="0023422E">
        <w:rPr>
          <w:rFonts w:cstheme="minorHAnsi"/>
          <w:b/>
          <w:sz w:val="26"/>
          <w:szCs w:val="26"/>
        </w:rPr>
        <w:t>Аннотация к рабочей программе</w:t>
      </w:r>
    </w:p>
    <w:p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rsidR="0023422E" w:rsidRPr="0023422E" w:rsidRDefault="0023422E" w:rsidP="0023422E">
      <w:pPr>
        <w:spacing w:before="100" w:after="100"/>
        <w:contextualSpacing/>
        <w:jc w:val="center"/>
        <w:rPr>
          <w:rFonts w:cstheme="minorHAnsi"/>
          <w:b/>
          <w:bCs/>
          <w:sz w:val="26"/>
          <w:szCs w:val="26"/>
        </w:rPr>
      </w:pPr>
    </w:p>
    <w:p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2"/>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 xml:space="preserve">мбиологии </w:t>
      </w:r>
      <w:bookmarkStart w:id="0" w:name="_GoBack"/>
      <w:bookmarkEnd w:id="0"/>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r w:rsidRPr="0023422E">
        <w:rPr>
          <w:rFonts w:cstheme="minorHAnsi"/>
          <w:sz w:val="26"/>
          <w:szCs w:val="26"/>
        </w:rPr>
        <w:t xml:space="preserve"> (личностные, метапредметные и предметные);</w:t>
      </w:r>
    </w:p>
    <w:p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№1 от 28.09.2023г/</w:t>
      </w:r>
    </w:p>
    <w:p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Р</w:t>
      </w:r>
      <w:r w:rsidR="00CB17C1" w:rsidRPr="00F76B95">
        <w:rPr>
          <w:rFonts w:cstheme="minorHAnsi"/>
          <w:b/>
          <w:bCs/>
          <w:sz w:val="28"/>
          <w:szCs w:val="28"/>
        </w:rPr>
        <w:t>абочая программа по учебному предме</w:t>
      </w:r>
      <w:r w:rsidR="002C229B" w:rsidRPr="00F76B95">
        <w:rPr>
          <w:rFonts w:cstheme="minorHAnsi"/>
          <w:b/>
          <w:bCs/>
          <w:sz w:val="28"/>
          <w:szCs w:val="28"/>
        </w:rPr>
        <w:t xml:space="preserve">ту "Биология" (базовый </w:t>
      </w:r>
      <w:r w:rsidR="002C229B" w:rsidRPr="00F76B95">
        <w:rPr>
          <w:rFonts w:cstheme="minorHAnsi"/>
          <w:b/>
          <w:bCs/>
          <w:sz w:val="28"/>
          <w:szCs w:val="28"/>
        </w:rPr>
        <w:lastRenderedPageBreak/>
        <w:t>уровень)</w:t>
      </w:r>
    </w:p>
    <w:p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содержание обучения,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с учётом возрастных особенностей обучающихся.</w:t>
      </w: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2.3. Программа по биологии включает распределение содержания учебного материала по классам, а также рекомендуемую последовательность изучения </w:t>
      </w:r>
      <w:r w:rsidRPr="00F76B95">
        <w:rPr>
          <w:rFonts w:cstheme="minorHAnsi"/>
          <w:sz w:val="28"/>
          <w:szCs w:val="28"/>
        </w:rPr>
        <w:lastRenderedPageBreak/>
        <w:t>тем, основанную на логике развития предметного содержания с учетом возрастных особенностей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Овладение методами изучения живой природы - наблюдением и экспериментом.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и многоклеточные организмы. Клетки, ткани, органы, системы органов.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Искусственные сообщества, их отличительные признаки от природных сообществ. Причины неустойчивости искусственных сообществ. Роль </w:t>
      </w:r>
      <w:r w:rsidRPr="00F76B95">
        <w:rPr>
          <w:rFonts w:cstheme="minorHAnsi"/>
          <w:sz w:val="28"/>
          <w:szCs w:val="28"/>
        </w:rPr>
        <w:lastRenderedPageBreak/>
        <w:t>искусственных сообществ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сезонных явлений в жизни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в природе с цветковыми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Неорганические (вода, минеральные соли) и органические вещества (белки, </w:t>
      </w:r>
      <w:r w:rsidRPr="00F76B95">
        <w:rPr>
          <w:rFonts w:cstheme="minorHAnsi"/>
          <w:sz w:val="28"/>
          <w:szCs w:val="28"/>
        </w:rPr>
        <w:lastRenderedPageBreak/>
        <w:t>жиры, углеводы, нуклеиновые кислоты, витамины и другие вещества) растения. Минеральное питание растений. Удобрения.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Наблюдение за ростом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передвижения воды и минеральных веществ по древесине.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w:t>
      </w:r>
      <w:r w:rsidRPr="00F76B95">
        <w:rPr>
          <w:rFonts w:cstheme="minorHAnsi"/>
          <w:sz w:val="28"/>
          <w:szCs w:val="28"/>
        </w:rPr>
        <w:lastRenderedPageBreak/>
        <w:t>Размножение хвойных, цикл развития на примере сосны. Значение хвойных растений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многоклеточных нитчатых водорослей (на примере спирогиры и улотрикса).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w:t>
      </w:r>
      <w:r w:rsidRPr="00F76B95">
        <w:rPr>
          <w:rFonts w:cstheme="minorHAnsi"/>
          <w:sz w:val="28"/>
          <w:szCs w:val="28"/>
        </w:rPr>
        <w:lastRenderedPageBreak/>
        <w:t>бактериями. Бактерии на службе у человека (в сельском хозяйстве, промышленности).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(мукор) и многоклеточных (пеницилл) плесневых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6.</w:t>
      </w:r>
      <w:r w:rsidR="00F06DFC" w:rsidRPr="00F76B95">
        <w:rPr>
          <w:rFonts w:cstheme="minorHAnsi"/>
          <w:b/>
          <w:bCs/>
          <w:sz w:val="28"/>
          <w:szCs w:val="28"/>
        </w:rPr>
        <w:t xml:space="preserve"> Содержание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с органами опоры и движения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органов чувств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Плоские, круглые, кольчатые черви. Общая характеристика. Особенности </w:t>
      </w:r>
      <w:r w:rsidRPr="00F76B95">
        <w:rPr>
          <w:rFonts w:cstheme="minorHAnsi"/>
          <w:sz w:val="28"/>
          <w:szCs w:val="28"/>
        </w:rPr>
        <w:lastRenderedPageBreak/>
        <w:t>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приспособлений паразитических червей к паразитизму (на готовых влажных и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Исследование внешнего строения раковин пресноводных и морских </w:t>
      </w:r>
      <w:r w:rsidRPr="00F76B95">
        <w:rPr>
          <w:rFonts w:cstheme="minorHAnsi"/>
          <w:sz w:val="28"/>
          <w:szCs w:val="28"/>
        </w:rPr>
        <w:lastRenderedPageBreak/>
        <w:t>моллюсков (раковины беззубки, перловицы, прудовика, катушки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особенностей передвижения рыбы (на примере живой рыбы в банке с водой).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6.4. Развитие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Город как особая искусственная среда, созданная человеком. Синантропные виды животных. Условия их обитания. Беспозвоночные и </w:t>
      </w:r>
      <w:r w:rsidRPr="00F76B95">
        <w:rPr>
          <w:rFonts w:cstheme="minorHAnsi"/>
          <w:sz w:val="28"/>
          <w:szCs w:val="28"/>
        </w:rPr>
        <w:lastRenderedPageBreak/>
        <w:t>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7.</w:t>
      </w:r>
      <w:r w:rsidR="00F06DFC" w:rsidRPr="00F76B95">
        <w:rPr>
          <w:rFonts w:cstheme="minorHAnsi"/>
          <w:b/>
          <w:bCs/>
          <w:sz w:val="28"/>
          <w:szCs w:val="28"/>
        </w:rPr>
        <w:t xml:space="preserve"> Содержание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w:t>
      </w:r>
      <w:r w:rsidRPr="00F76B95">
        <w:rPr>
          <w:rFonts w:cstheme="minorHAnsi"/>
          <w:sz w:val="28"/>
          <w:szCs w:val="28"/>
        </w:rPr>
        <w:lastRenderedPageBreak/>
        <w:t>работе эндокринных желез. Особенности рефлекторной и гуморальной регуляции функций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микроскопического строения крови человека и лягушки </w:t>
      </w:r>
      <w:r w:rsidRPr="00F76B95">
        <w:rPr>
          <w:rFonts w:cstheme="minorHAnsi"/>
          <w:sz w:val="28"/>
          <w:szCs w:val="28"/>
        </w:rPr>
        <w:lastRenderedPageBreak/>
        <w:t>(сравнение)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7.7. Дыхание.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Нормы и режим питания. Рациональное питание - фактор укрепления здоровья. Нарушение обмена веществ.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функции кожи. Кожа и ее производные. Кожа и терморегуляция. Влияние на кожу факторов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зрения (на муляже и влажном 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сформированности навыков логического мышления.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w:t>
      </w:r>
      <w:r w:rsidRPr="00F76B95">
        <w:rPr>
          <w:rFonts w:cstheme="minorHAnsi"/>
          <w:sz w:val="28"/>
          <w:szCs w:val="28"/>
        </w:rPr>
        <w:lastRenderedPageBreak/>
        <w:t>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8.1. 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сформированность навыка рефлексии, управление собственным эмоциональным состоянием;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 экологического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 Метапредметные результаты освоения программы по биологии основного общего образования, должны отражать: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дефициты информации, данных, необходимых для решения поставленной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вопросы как исследовательский инструмент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надежность биологической информации по критериям, предложенным учителем или сформулированным самостоятельно; запоминать и </w:t>
      </w:r>
      <w:r w:rsidRPr="00F76B95">
        <w:rPr>
          <w:rFonts w:cstheme="minorHAnsi"/>
          <w:sz w:val="28"/>
          <w:szCs w:val="28"/>
        </w:rPr>
        <w:lastRenderedPageBreak/>
        <w:t>систематизировать биологическую информацию.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публично представлять результаты выполненного биологического опыта (эксперимента, исследования, проекта);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w:t>
      </w:r>
      <w:r w:rsidRPr="00F76B95">
        <w:rPr>
          <w:rFonts w:cstheme="minorHAnsi"/>
          <w:sz w:val="28"/>
          <w:szCs w:val="28"/>
        </w:rPr>
        <w:lastRenderedPageBreak/>
        <w:t>предоставлению отчета перед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выбор и брать ответственность за решение.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способами самоконтроля, самомотивации и рефлексии;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понятие о среде обитания (водной, наземно-воздушной, почвенной, внутриорганизменной), условиях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раскрывать роль биологии в практической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В.В. Докучаев, К.А. Тимирязев, С.Г. Навашин) и зарубежных ученых (в том числе Р. Гук, М. Мальпиги) в развитие наук о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признаки растений, уровни организации растительного </w:t>
      </w:r>
      <w:r w:rsidRPr="00F76B95">
        <w:rPr>
          <w:rFonts w:cstheme="minorHAnsi"/>
          <w:sz w:val="28"/>
          <w:szCs w:val="28"/>
        </w:rPr>
        <w:lastRenderedPageBreak/>
        <w:t>организма, части растений: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полученные знания для выращивания и размножения культурных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биологические термины и понятия (в том числе: ботаника, </w:t>
      </w:r>
      <w:r w:rsidRPr="00F76B95">
        <w:rPr>
          <w:rFonts w:cstheme="minorHAnsi"/>
          <w:sz w:val="28"/>
          <w:szCs w:val="28"/>
        </w:rPr>
        <w:lastRenderedPageBreak/>
        <w:t>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существенные признаки строения и жизнедеятельности растений, бактерий, грибов,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соблюдать правила безопасного труда при работе с учебным и </w:t>
      </w:r>
      <w:r w:rsidRPr="00F76B95">
        <w:rPr>
          <w:rFonts w:cstheme="minorHAnsi"/>
          <w:sz w:val="28"/>
          <w:szCs w:val="28"/>
        </w:rPr>
        <w:lastRenderedPageBreak/>
        <w:t>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признаки классов членистоногих и хордовых, отрядов насекомых и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взаимосвязи животных с растениями, грибами, лишайниками и бактериями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w:t>
      </w:r>
      <w:r w:rsidRPr="00F76B95">
        <w:rPr>
          <w:rFonts w:cstheme="minorHAnsi"/>
          <w:sz w:val="28"/>
          <w:szCs w:val="28"/>
        </w:rPr>
        <w:lastRenderedPageBreak/>
        <w:t>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Pr="00F76B95" w:rsidRDefault="00067304"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spacing w:before="100" w:after="100"/>
        <w:contextualSpacing/>
        <w:rPr>
          <w:rFonts w:cstheme="minorHAnsi"/>
          <w:sz w:val="28"/>
          <w:szCs w:val="28"/>
        </w:rPr>
        <w:sectPr w:rsidR="00F96F1B" w:rsidRPr="00F76B95" w:rsidSect="00F76B95">
          <w:type w:val="continuous"/>
          <w:pgSz w:w="12240" w:h="15840"/>
          <w:pgMar w:top="1134" w:right="850" w:bottom="1134" w:left="1701" w:header="720" w:footer="720" w:gutter="0"/>
          <w:cols w:space="720"/>
          <w:noEndnote/>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ТЕМАТИЧЕСКОЕ ПЛАНИРОВАНИЕ </w:t>
      </w: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0"/>
        <w:gridCol w:w="3685"/>
        <w:gridCol w:w="1367"/>
        <w:gridCol w:w="2090"/>
        <w:gridCol w:w="2171"/>
        <w:gridCol w:w="3517"/>
      </w:tblGrid>
      <w:tr w:rsidR="00F96F1B" w:rsidRPr="00F76B95" w:rsidTr="002D3A9D">
        <w:trPr>
          <w:trHeight w:val="144"/>
          <w:tblCellSpacing w:w="20" w:type="nil"/>
        </w:trPr>
        <w:tc>
          <w:tcPr>
            <w:tcW w:w="50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7">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8">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9">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0">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1">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2">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3992"/>
        <w:gridCol w:w="1276"/>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3872"/>
        <w:gridCol w:w="1317"/>
        <w:gridCol w:w="2090"/>
        <w:gridCol w:w="2171"/>
        <w:gridCol w:w="3517"/>
      </w:tblGrid>
      <w:tr w:rsidR="00F96F1B" w:rsidRPr="00F76B95" w:rsidTr="002D3A9D">
        <w:trPr>
          <w:trHeight w:val="144"/>
          <w:tblCellSpacing w:w="20" w:type="nil"/>
        </w:trPr>
        <w:tc>
          <w:tcPr>
            <w:tcW w:w="47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lastRenderedPageBreak/>
              <w:t>ОБЩЕЕ КОЛИЧЕСТВО ЧАСОВ ПО ПРОГРАММЕ</w:t>
            </w:r>
          </w:p>
        </w:tc>
        <w:tc>
          <w:tcPr>
            <w:tcW w:w="157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3996"/>
        <w:gridCol w:w="1274"/>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3586"/>
        <w:gridCol w:w="1228"/>
        <w:gridCol w:w="2090"/>
        <w:gridCol w:w="2171"/>
        <w:gridCol w:w="3470"/>
      </w:tblGrid>
      <w:tr w:rsidR="00F96F1B" w:rsidRPr="00F76B95" w:rsidTr="002D3A9D">
        <w:trPr>
          <w:trHeight w:val="144"/>
          <w:tblCellSpacing w:w="20" w:type="nil"/>
        </w:trPr>
        <w:tc>
          <w:tcPr>
            <w:tcW w:w="46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526" w:rsidRDefault="00136526" w:rsidP="004C0E07">
      <w:r>
        <w:separator/>
      </w:r>
    </w:p>
  </w:endnote>
  <w:endnote w:type="continuationSeparator" w:id="1">
    <w:p w:rsidR="00136526" w:rsidRDefault="00136526" w:rsidP="004C0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526" w:rsidRDefault="00136526" w:rsidP="004C0E07">
      <w:r>
        <w:separator/>
      </w:r>
    </w:p>
  </w:footnote>
  <w:footnote w:type="continuationSeparator" w:id="1">
    <w:p w:rsidR="00136526" w:rsidRDefault="00136526" w:rsidP="004C0E07">
      <w:r>
        <w:continuationSeparator/>
      </w:r>
    </w:p>
  </w:footnote>
  <w:footnote w:id="2">
    <w:p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4C0E07" w:rsidRPr="00A413AE" w:rsidRDefault="004C0E07" w:rsidP="004C0E07">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B17C1"/>
    <w:rsid w:val="0003092B"/>
    <w:rsid w:val="00067304"/>
    <w:rsid w:val="00080B3B"/>
    <w:rsid w:val="00136526"/>
    <w:rsid w:val="00151C45"/>
    <w:rsid w:val="001D0CB7"/>
    <w:rsid w:val="0023422E"/>
    <w:rsid w:val="002C229B"/>
    <w:rsid w:val="004419EB"/>
    <w:rsid w:val="00470FB1"/>
    <w:rsid w:val="004C0E07"/>
    <w:rsid w:val="005D2CD1"/>
    <w:rsid w:val="00717264"/>
    <w:rsid w:val="00721A98"/>
    <w:rsid w:val="00734C8C"/>
    <w:rsid w:val="007A0B86"/>
    <w:rsid w:val="007A60EB"/>
    <w:rsid w:val="007C419F"/>
    <w:rsid w:val="008A26FC"/>
    <w:rsid w:val="00950C19"/>
    <w:rsid w:val="00A83D8A"/>
    <w:rsid w:val="00B63E7D"/>
    <w:rsid w:val="00BC7430"/>
    <w:rsid w:val="00CB17C1"/>
    <w:rsid w:val="00CB3E4C"/>
    <w:rsid w:val="00D70403"/>
    <w:rsid w:val="00DD49A0"/>
    <w:rsid w:val="00F06DFC"/>
    <w:rsid w:val="00F76B95"/>
    <w:rsid w:val="00F96F1B"/>
    <w:rsid w:val="00FC1EFC"/>
    <w:rsid w:val="00FF1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4C0E07"/>
    <w:rPr>
      <w:rFonts w:ascii="Calibri" w:eastAsia="Calibri" w:hAnsi="Calibri" w:cs="Times New Roman"/>
      <w:sz w:val="20"/>
      <w:szCs w:val="20"/>
      <w:lang/>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13246</Words>
  <Characters>75508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18</cp:revision>
  <dcterms:created xsi:type="dcterms:W3CDTF">2023-09-28T02:39:00Z</dcterms:created>
  <dcterms:modified xsi:type="dcterms:W3CDTF">2023-11-26T16:15:00Z</dcterms:modified>
</cp:coreProperties>
</file>